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b w:val="1"/>
          <w:sz w:val="21"/>
          <w:szCs w:val="21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1"/>
          <w:szCs w:val="21"/>
          <w:highlight w:val="white"/>
          <w:u w:val="single"/>
          <w:rtl w:val="0"/>
        </w:rPr>
        <w:t xml:space="preserve">New in-depth Tourism Trends Report for Devon now available</w:t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The  first in a series of monthly reports that take an in-depth look at the performance of the tourism sector in Devon and Somerset is now available via the South West Visitor Economy Hub website here: https://swvehub.co.uk/reports</w:t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Key Takeaways from the report include: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🌞 Weather impact: Mild temperatures with warmer spells boosted beach and outdoor visits.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🏖️ Staycation boom: 72% of visitors came for holidays, with a strong staycation trend due to economic pressures.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🎉 Major events: Sidmouth Folk Festival attracted 175,000+ visitors, and Dartmouth Regatta drove a footfall of 81,000.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🏘️ Accommodation: Short-term rentals were at 93% occupancy, up 5% from last year, and daily rates jumped by £35!</w:t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Access the report for free now: https://swvehub.co.uk/reports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